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5E356" w14:textId="03E92BFC" w:rsidR="00635DFD" w:rsidRDefault="00635DFD" w:rsidP="00635D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</w:pPr>
      <w:r w:rsidRPr="00635DFD"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>Na temelju članka 17.stavka 1. alineje 2. Zakona o sustavu civilne zaštite („Narodne novine“, broj</w:t>
      </w:r>
      <w:r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 xml:space="preserve"> 82/15, 118/18, 31/20, 20/21 i 114/22</w:t>
      </w:r>
      <w:r w:rsidRPr="00635DFD"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 xml:space="preserve">) i </w:t>
      </w:r>
      <w:r w:rsidR="00303D28" w:rsidRPr="007263AD">
        <w:rPr>
          <w:rFonts w:ascii="Times New Roman" w:hAnsi="Times New Roman" w:cs="Times New Roman"/>
        </w:rPr>
        <w:t>članka 34. Statuta Grada Čazme („Službeni vjesnik“, broj 13/21</w:t>
      </w:r>
      <w:r w:rsidR="00303D28">
        <w:rPr>
          <w:rFonts w:ascii="Times New Roman" w:hAnsi="Times New Roman" w:cs="Times New Roman"/>
        </w:rPr>
        <w:t xml:space="preserve"> i</w:t>
      </w:r>
      <w:r w:rsidR="00303D28">
        <w:rPr>
          <w:rFonts w:ascii="Times New Roman" w:hAnsi="Times New Roman" w:cs="Times New Roman"/>
        </w:rPr>
        <w:t xml:space="preserve"> 39/25</w:t>
      </w:r>
      <w:r w:rsidR="00303D28" w:rsidRPr="007263AD">
        <w:rPr>
          <w:rFonts w:ascii="Times New Roman" w:hAnsi="Times New Roman" w:cs="Times New Roman"/>
        </w:rPr>
        <w:t>), Gradsko vijeće Grada Čazme</w:t>
      </w:r>
      <w:r w:rsidRPr="00635DFD"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>, na</w:t>
      </w:r>
      <w:r w:rsidR="00303D28"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 xml:space="preserve"> </w:t>
      </w:r>
      <w:r w:rsidRPr="00635DFD"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 xml:space="preserve"> sjednici održanoj dana  Općinsko vijeće </w:t>
      </w:r>
      <w:r w:rsidR="00303D28"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 xml:space="preserve">Grada Čazme </w:t>
      </w:r>
      <w:r w:rsidRPr="00635DFD"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>donijelo je</w:t>
      </w:r>
    </w:p>
    <w:p w14:paraId="7C9843CF" w14:textId="73035AF8" w:rsidR="00635DFD" w:rsidRPr="00635DFD" w:rsidRDefault="00635DFD" w:rsidP="00635DF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35DFD">
        <w:rPr>
          <w:rFonts w:ascii="Times New Roman" w:eastAsia="Times New Roman" w:hAnsi="Times New Roman" w:cs="Times New Roman"/>
          <w:color w:val="212121"/>
          <w:kern w:val="0"/>
          <w:lang w:eastAsia="hr-HR"/>
          <w14:ligatures w14:val="none"/>
        </w:rPr>
        <w:br/>
      </w:r>
    </w:p>
    <w:p w14:paraId="786E44F2" w14:textId="77777777" w:rsidR="00635DFD" w:rsidRPr="00635DFD" w:rsidRDefault="00635DFD" w:rsidP="00635D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kern w:val="0"/>
          <w:lang w:eastAsia="hr-HR"/>
          <w14:ligatures w14:val="none"/>
        </w:rPr>
      </w:pPr>
      <w:r w:rsidRPr="00635DFD">
        <w:rPr>
          <w:rFonts w:ascii="Times New Roman" w:eastAsia="Times New Roman" w:hAnsi="Times New Roman" w:cs="Times New Roman"/>
          <w:b/>
          <w:bCs/>
          <w:color w:val="212121"/>
          <w:kern w:val="0"/>
          <w:lang w:eastAsia="hr-HR"/>
          <w14:ligatures w14:val="none"/>
        </w:rPr>
        <w:t>O D L U K U</w:t>
      </w:r>
    </w:p>
    <w:p w14:paraId="3957F5B8" w14:textId="6DAD6C09" w:rsidR="00635DFD" w:rsidRPr="00635DFD" w:rsidRDefault="00635DFD" w:rsidP="00635D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kern w:val="0"/>
          <w:lang w:eastAsia="hr-HR"/>
          <w14:ligatures w14:val="none"/>
        </w:rPr>
      </w:pPr>
      <w:r w:rsidRPr="00635DFD">
        <w:rPr>
          <w:rFonts w:ascii="Times New Roman" w:eastAsia="Times New Roman" w:hAnsi="Times New Roman" w:cs="Times New Roman"/>
          <w:b/>
          <w:bCs/>
          <w:color w:val="212121"/>
          <w:kern w:val="0"/>
          <w:lang w:eastAsia="hr-HR"/>
          <w14:ligatures w14:val="none"/>
        </w:rPr>
        <w:t>o usvajanju Procjene rizika od velikih nesreća za</w:t>
      </w:r>
      <w:r w:rsidR="00303D28">
        <w:rPr>
          <w:rFonts w:ascii="Times New Roman" w:eastAsia="Times New Roman" w:hAnsi="Times New Roman" w:cs="Times New Roman"/>
          <w:b/>
          <w:bCs/>
          <w:color w:val="212121"/>
          <w:kern w:val="0"/>
          <w:lang w:eastAsia="hr-HR"/>
          <w14:ligatures w14:val="none"/>
        </w:rPr>
        <w:t xml:space="preserve"> područje Grada Čazme</w:t>
      </w:r>
    </w:p>
    <w:p w14:paraId="4D646223" w14:textId="77777777" w:rsidR="00635DFD" w:rsidRPr="00635DFD" w:rsidRDefault="00635DFD" w:rsidP="00635D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kern w:val="0"/>
          <w:lang w:eastAsia="hr-HR"/>
          <w14:ligatures w14:val="none"/>
        </w:rPr>
      </w:pPr>
    </w:p>
    <w:p w14:paraId="39AC25CC" w14:textId="77777777" w:rsidR="00635DFD" w:rsidRPr="00635DFD" w:rsidRDefault="00635DFD" w:rsidP="00635DF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C32E7BE" w14:textId="77777777" w:rsidR="00635DFD" w:rsidRDefault="00635DFD" w:rsidP="00635D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kern w:val="0"/>
          <w:lang w:eastAsia="hr-HR"/>
          <w14:ligatures w14:val="none"/>
        </w:rPr>
      </w:pPr>
      <w:r w:rsidRPr="00635DFD">
        <w:rPr>
          <w:rFonts w:ascii="Times New Roman" w:eastAsia="Times New Roman" w:hAnsi="Times New Roman" w:cs="Times New Roman"/>
          <w:b/>
          <w:bCs/>
          <w:color w:val="212121"/>
          <w:kern w:val="0"/>
          <w:lang w:eastAsia="hr-HR"/>
          <w14:ligatures w14:val="none"/>
        </w:rPr>
        <w:t>Članak 1.</w:t>
      </w:r>
    </w:p>
    <w:p w14:paraId="4A78E25D" w14:textId="77777777" w:rsidR="00635DFD" w:rsidRPr="00635DFD" w:rsidRDefault="00635DFD" w:rsidP="00635D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kern w:val="0"/>
          <w:lang w:eastAsia="hr-HR"/>
          <w14:ligatures w14:val="none"/>
        </w:rPr>
      </w:pPr>
    </w:p>
    <w:p w14:paraId="5E67723C" w14:textId="4196593D" w:rsidR="00635DFD" w:rsidRDefault="00635DFD" w:rsidP="00635D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>Gradsko vijeće Grada Čazme usvaja Procjenu rizika od velikih nesreća za područje Grada Čazme (Revizija 3/2026) izrađenu od strane trgovačkog društva Vizor d.o.o., ekologija-zaštita-konzalting, Koprivnička 1, Varaždin,</w:t>
      </w:r>
      <w:r w:rsidRPr="00635DFD"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 xml:space="preserve"> zakonom ovlaštene pravne osobe za izradu akata i dokumenata iz područja civilne zaštite</w:t>
      </w:r>
      <w:r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>.</w:t>
      </w:r>
    </w:p>
    <w:p w14:paraId="67F11553" w14:textId="187F1579" w:rsidR="00635DFD" w:rsidRPr="00635DFD" w:rsidRDefault="00635DFD" w:rsidP="00635DF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35DFD"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 xml:space="preserve"> .</w:t>
      </w:r>
      <w:r w:rsidRPr="00635DFD">
        <w:rPr>
          <w:rFonts w:ascii="Times New Roman" w:eastAsia="Times New Roman" w:hAnsi="Times New Roman" w:cs="Times New Roman"/>
          <w:color w:val="212121"/>
          <w:kern w:val="0"/>
          <w:lang w:eastAsia="hr-HR"/>
          <w14:ligatures w14:val="none"/>
        </w:rPr>
        <w:br/>
      </w:r>
    </w:p>
    <w:p w14:paraId="26CBFEED" w14:textId="77777777" w:rsidR="00635DFD" w:rsidRDefault="00635DFD" w:rsidP="00635D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kern w:val="0"/>
          <w:lang w:eastAsia="hr-HR"/>
          <w14:ligatures w14:val="none"/>
        </w:rPr>
      </w:pPr>
      <w:r w:rsidRPr="00635DFD">
        <w:rPr>
          <w:rFonts w:ascii="Times New Roman" w:eastAsia="Times New Roman" w:hAnsi="Times New Roman" w:cs="Times New Roman"/>
          <w:b/>
          <w:bCs/>
          <w:color w:val="212121"/>
          <w:kern w:val="0"/>
          <w:lang w:eastAsia="hr-HR"/>
          <w14:ligatures w14:val="none"/>
        </w:rPr>
        <w:t>Članak 2.</w:t>
      </w:r>
    </w:p>
    <w:p w14:paraId="445F3873" w14:textId="77777777" w:rsidR="00635DFD" w:rsidRPr="00635DFD" w:rsidRDefault="00635DFD" w:rsidP="00635D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kern w:val="0"/>
          <w:lang w:eastAsia="hr-HR"/>
          <w14:ligatures w14:val="none"/>
        </w:rPr>
      </w:pPr>
    </w:p>
    <w:p w14:paraId="0984B651" w14:textId="77777777" w:rsidR="00303D28" w:rsidRDefault="00635DFD" w:rsidP="00303D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</w:pPr>
      <w:r w:rsidRPr="00635DFD"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>Tekst Procjene rizika od velikih nesreća</w:t>
      </w:r>
      <w:r w:rsidR="00303D28"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 xml:space="preserve"> za područje Grada Čazme</w:t>
      </w:r>
      <w:r w:rsidRPr="00635DFD"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 xml:space="preserve"> nalazi se u prilogu ove Odluke i čini njen sastavni dio.</w:t>
      </w:r>
    </w:p>
    <w:p w14:paraId="7AFF818B" w14:textId="741CA221" w:rsidR="00635DFD" w:rsidRPr="00635DFD" w:rsidRDefault="00635DFD" w:rsidP="00303D2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35DFD">
        <w:rPr>
          <w:rFonts w:ascii="Times New Roman" w:eastAsia="Times New Roman" w:hAnsi="Times New Roman" w:cs="Times New Roman"/>
          <w:color w:val="212121"/>
          <w:kern w:val="0"/>
          <w:lang w:eastAsia="hr-HR"/>
          <w14:ligatures w14:val="none"/>
        </w:rPr>
        <w:br/>
      </w:r>
    </w:p>
    <w:p w14:paraId="37199B39" w14:textId="77777777" w:rsidR="00635DFD" w:rsidRDefault="00635DFD" w:rsidP="00635D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kern w:val="0"/>
          <w:lang w:eastAsia="hr-HR"/>
          <w14:ligatures w14:val="none"/>
        </w:rPr>
      </w:pPr>
      <w:r w:rsidRPr="00635DFD">
        <w:rPr>
          <w:rFonts w:ascii="Times New Roman" w:eastAsia="Times New Roman" w:hAnsi="Times New Roman" w:cs="Times New Roman"/>
          <w:b/>
          <w:bCs/>
          <w:color w:val="212121"/>
          <w:kern w:val="0"/>
          <w:lang w:eastAsia="hr-HR"/>
          <w14:ligatures w14:val="none"/>
        </w:rPr>
        <w:t>Članak 3.</w:t>
      </w:r>
    </w:p>
    <w:p w14:paraId="318FBDF3" w14:textId="77777777" w:rsidR="00635DFD" w:rsidRPr="00635DFD" w:rsidRDefault="00635DFD" w:rsidP="00635D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kern w:val="0"/>
          <w:lang w:eastAsia="hr-HR"/>
          <w14:ligatures w14:val="none"/>
        </w:rPr>
      </w:pPr>
    </w:p>
    <w:p w14:paraId="1FD8EDE9" w14:textId="77777777" w:rsidR="00303D28" w:rsidRDefault="00635DFD" w:rsidP="00635DFD">
      <w:pPr>
        <w:spacing w:after="0" w:line="240" w:lineRule="auto"/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</w:pPr>
      <w:r w:rsidRPr="00635DFD"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>Ova Odluka stupa na snagu os</w:t>
      </w:r>
      <w:r w:rsidR="00303D28"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  <w:t>mog dana od dana objave u Službenom vjesniku.</w:t>
      </w:r>
    </w:p>
    <w:p w14:paraId="0CA07DF3" w14:textId="77777777" w:rsidR="00303D28" w:rsidRDefault="00303D28" w:rsidP="00635DFD">
      <w:pPr>
        <w:spacing w:after="0" w:line="240" w:lineRule="auto"/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</w:pPr>
    </w:p>
    <w:p w14:paraId="05F27E25" w14:textId="6E7AF8B7" w:rsidR="00635DFD" w:rsidRDefault="00635DFD" w:rsidP="00635DFD">
      <w:pPr>
        <w:spacing w:after="0" w:line="240" w:lineRule="auto"/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</w:pPr>
    </w:p>
    <w:p w14:paraId="59BD450F" w14:textId="77777777" w:rsidR="00635DFD" w:rsidRDefault="00635DFD" w:rsidP="00635DFD">
      <w:pPr>
        <w:spacing w:after="0" w:line="240" w:lineRule="auto"/>
        <w:rPr>
          <w:rFonts w:ascii="Times New Roman" w:eastAsia="Times New Roman" w:hAnsi="Times New Roman" w:cs="Times New Roman"/>
          <w:color w:val="212121"/>
          <w:kern w:val="0"/>
          <w:shd w:val="clear" w:color="auto" w:fill="FFFFFF"/>
          <w:lang w:eastAsia="hr-HR"/>
          <w14:ligatures w14:val="none"/>
        </w:rPr>
      </w:pPr>
    </w:p>
    <w:p w14:paraId="759844F2" w14:textId="648C2B4E" w:rsidR="00854DF4" w:rsidRPr="00303D28" w:rsidRDefault="00303D28" w:rsidP="00303D28">
      <w:pPr>
        <w:jc w:val="right"/>
        <w:rPr>
          <w:rFonts w:ascii="Times New Roman" w:eastAsia="Times New Roman" w:hAnsi="Times New Roman" w:cs="Times New Roman"/>
          <w:b/>
          <w:bCs/>
          <w:color w:val="212121"/>
          <w:kern w:val="0"/>
          <w:shd w:val="clear" w:color="auto" w:fill="FFFFFF"/>
          <w:lang w:eastAsia="hr-HR"/>
          <w14:ligatures w14:val="none"/>
        </w:rPr>
      </w:pPr>
      <w:r w:rsidRPr="00303D28">
        <w:rPr>
          <w:rFonts w:ascii="Times New Roman" w:eastAsia="Times New Roman" w:hAnsi="Times New Roman" w:cs="Times New Roman"/>
          <w:b/>
          <w:bCs/>
          <w:color w:val="212121"/>
          <w:kern w:val="0"/>
          <w:shd w:val="clear" w:color="auto" w:fill="FFFFFF"/>
          <w:lang w:eastAsia="hr-HR"/>
          <w14:ligatures w14:val="none"/>
        </w:rPr>
        <w:t>PREDSJEDNIK GRADSKOG VIJEĆA:</w:t>
      </w:r>
    </w:p>
    <w:p w14:paraId="1B1B2B74" w14:textId="6E2FA92D" w:rsidR="00303D28" w:rsidRDefault="00303D28" w:rsidP="00303D28">
      <w:pPr>
        <w:jc w:val="right"/>
        <w:rPr>
          <w:rFonts w:ascii="Times New Roman" w:eastAsia="Times New Roman" w:hAnsi="Times New Roman" w:cs="Times New Roman"/>
          <w:b/>
          <w:bCs/>
          <w:color w:val="212121"/>
          <w:kern w:val="0"/>
          <w:shd w:val="clear" w:color="auto" w:fill="FFFFFF"/>
          <w:lang w:eastAsia="hr-HR"/>
          <w14:ligatures w14:val="none"/>
        </w:rPr>
      </w:pPr>
      <w:r w:rsidRPr="00303D28">
        <w:rPr>
          <w:rFonts w:ascii="Times New Roman" w:eastAsia="Times New Roman" w:hAnsi="Times New Roman" w:cs="Times New Roman"/>
          <w:b/>
          <w:bCs/>
          <w:color w:val="212121"/>
          <w:kern w:val="0"/>
          <w:shd w:val="clear" w:color="auto" w:fill="FFFFFF"/>
          <w:lang w:eastAsia="hr-HR"/>
          <w14:ligatures w14:val="none"/>
        </w:rPr>
        <w:t>Igor Grčić</w:t>
      </w:r>
    </w:p>
    <w:p w14:paraId="70AFF2E7" w14:textId="77777777" w:rsidR="00A55520" w:rsidRPr="00A55520" w:rsidRDefault="00A55520" w:rsidP="00A55520">
      <w:pPr>
        <w:rPr>
          <w:rFonts w:ascii="Times New Roman" w:hAnsi="Times New Roman" w:cs="Times New Roman"/>
          <w:lang w:eastAsia="hr-HR"/>
        </w:rPr>
      </w:pPr>
    </w:p>
    <w:p w14:paraId="788A370F" w14:textId="77777777" w:rsidR="00A55520" w:rsidRPr="00A55520" w:rsidRDefault="00A55520" w:rsidP="00A55520">
      <w:pPr>
        <w:rPr>
          <w:rFonts w:ascii="Times New Roman" w:hAnsi="Times New Roman" w:cs="Times New Roman"/>
          <w:lang w:eastAsia="hr-HR"/>
        </w:rPr>
      </w:pPr>
    </w:p>
    <w:p w14:paraId="6C074061" w14:textId="77777777" w:rsidR="00A55520" w:rsidRPr="00A55520" w:rsidRDefault="00A55520" w:rsidP="00A55520">
      <w:pPr>
        <w:rPr>
          <w:rFonts w:ascii="Times New Roman" w:hAnsi="Times New Roman" w:cs="Times New Roman"/>
          <w:lang w:eastAsia="hr-HR"/>
        </w:rPr>
      </w:pPr>
    </w:p>
    <w:p w14:paraId="74C4F89F" w14:textId="77777777" w:rsidR="00A55520" w:rsidRDefault="00A55520" w:rsidP="00A55520">
      <w:pPr>
        <w:rPr>
          <w:rFonts w:ascii="Times New Roman" w:eastAsia="Times New Roman" w:hAnsi="Times New Roman" w:cs="Times New Roman"/>
          <w:b/>
          <w:bCs/>
          <w:color w:val="212121"/>
          <w:kern w:val="0"/>
          <w:shd w:val="clear" w:color="auto" w:fill="FFFFFF"/>
          <w:lang w:eastAsia="hr-HR"/>
          <w14:ligatures w14:val="none"/>
        </w:rPr>
      </w:pPr>
    </w:p>
    <w:p w14:paraId="103BB923" w14:textId="5E3A289D" w:rsidR="00A55520" w:rsidRDefault="00A55520" w:rsidP="00A55520">
      <w:pPr>
        <w:tabs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22355B45" w14:textId="77777777" w:rsidR="00A55520" w:rsidRDefault="00A55520" w:rsidP="00A55520">
      <w:pPr>
        <w:tabs>
          <w:tab w:val="left" w:pos="1080"/>
        </w:tabs>
        <w:rPr>
          <w:rFonts w:ascii="Times New Roman" w:hAnsi="Times New Roman" w:cs="Times New Roman"/>
        </w:rPr>
      </w:pPr>
    </w:p>
    <w:p w14:paraId="082300B7" w14:textId="77777777" w:rsidR="00A55520" w:rsidRDefault="00A55520" w:rsidP="00A55520">
      <w:pPr>
        <w:tabs>
          <w:tab w:val="left" w:pos="1080"/>
        </w:tabs>
        <w:rPr>
          <w:rFonts w:ascii="Times New Roman" w:hAnsi="Times New Roman" w:cs="Times New Roman"/>
        </w:rPr>
      </w:pPr>
    </w:p>
    <w:p w14:paraId="2A5DAEB5" w14:textId="77777777" w:rsidR="00A55520" w:rsidRDefault="00A55520" w:rsidP="00A55520">
      <w:pPr>
        <w:tabs>
          <w:tab w:val="left" w:pos="1080"/>
        </w:tabs>
        <w:rPr>
          <w:rFonts w:ascii="Times New Roman" w:hAnsi="Times New Roman" w:cs="Times New Roman"/>
        </w:rPr>
      </w:pPr>
    </w:p>
    <w:p w14:paraId="263570CF" w14:textId="77777777" w:rsidR="00A55520" w:rsidRDefault="00A55520" w:rsidP="00A55520">
      <w:pPr>
        <w:tabs>
          <w:tab w:val="left" w:pos="1080"/>
        </w:tabs>
        <w:rPr>
          <w:rFonts w:ascii="Times New Roman" w:hAnsi="Times New Roman" w:cs="Times New Roman"/>
        </w:rPr>
      </w:pPr>
    </w:p>
    <w:p w14:paraId="7B6501DC" w14:textId="77777777" w:rsidR="00A55520" w:rsidRDefault="00A55520" w:rsidP="00A55520">
      <w:pPr>
        <w:tabs>
          <w:tab w:val="left" w:pos="1080"/>
        </w:tabs>
        <w:rPr>
          <w:rFonts w:ascii="Times New Roman" w:hAnsi="Times New Roman" w:cs="Times New Roman"/>
        </w:rPr>
      </w:pPr>
    </w:p>
    <w:p w14:paraId="135A5BF3" w14:textId="77777777" w:rsidR="00A55520" w:rsidRPr="00D1336C" w:rsidRDefault="00A55520" w:rsidP="00A55520">
      <w:pPr>
        <w:pStyle w:val="Heading1"/>
        <w:spacing w:before="74"/>
        <w:ind w:left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36C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lastRenderedPageBreak/>
        <w:t>Obrazloženje</w:t>
      </w:r>
    </w:p>
    <w:p w14:paraId="36DB54E5" w14:textId="77777777" w:rsidR="00A55520" w:rsidRDefault="00A55520" w:rsidP="00A55520">
      <w:pPr>
        <w:pStyle w:val="BodyText"/>
        <w:spacing w:before="272"/>
        <w:ind w:right="141" w:firstLine="1"/>
        <w:jc w:val="both"/>
      </w:pPr>
    </w:p>
    <w:p w14:paraId="14B74B09" w14:textId="7BB3AC06" w:rsidR="00A55520" w:rsidRDefault="00A55520" w:rsidP="00A55520">
      <w:pPr>
        <w:pStyle w:val="BodyText"/>
        <w:spacing w:before="272"/>
        <w:ind w:right="141" w:firstLine="1"/>
        <w:jc w:val="both"/>
        <w:rPr>
          <w:b/>
          <w:bCs/>
        </w:rPr>
      </w:pPr>
      <w:r w:rsidRPr="006F187D">
        <w:rPr>
          <w:b/>
          <w:bCs/>
        </w:rPr>
        <w:t xml:space="preserve">PRAVNI TEMELJ ZA DONOŠENJE ODLUKE </w:t>
      </w:r>
    </w:p>
    <w:p w14:paraId="3579F07D" w14:textId="77777777" w:rsidR="00A55520" w:rsidRDefault="00A55520" w:rsidP="00A55520">
      <w:pPr>
        <w:pStyle w:val="BodyText"/>
        <w:ind w:right="137" w:firstLine="707"/>
        <w:jc w:val="both"/>
        <w:rPr>
          <w:color w:val="212121"/>
          <w:shd w:val="clear" w:color="auto" w:fill="FFFFFF"/>
          <w:lang w:eastAsia="hr-HR"/>
        </w:rPr>
      </w:pPr>
    </w:p>
    <w:p w14:paraId="2F77E989" w14:textId="79A1F33D" w:rsidR="00A55520" w:rsidRDefault="00A55520" w:rsidP="00A55520">
      <w:pPr>
        <w:pStyle w:val="BodyText"/>
        <w:ind w:left="0" w:right="137" w:firstLine="1"/>
        <w:jc w:val="both"/>
      </w:pPr>
      <w:r>
        <w:rPr>
          <w:color w:val="212121"/>
          <w:shd w:val="clear" w:color="auto" w:fill="FFFFFF"/>
          <w:lang w:eastAsia="hr-HR"/>
        </w:rPr>
        <w:t>Ova Odluka se donosi n</w:t>
      </w:r>
      <w:r w:rsidRPr="00635DFD">
        <w:rPr>
          <w:color w:val="212121"/>
          <w:shd w:val="clear" w:color="auto" w:fill="FFFFFF"/>
          <w:lang w:eastAsia="hr-HR"/>
        </w:rPr>
        <w:t>a temelju članka 17.</w:t>
      </w:r>
      <w:r>
        <w:rPr>
          <w:color w:val="212121"/>
          <w:shd w:val="clear" w:color="auto" w:fill="FFFFFF"/>
          <w:lang w:eastAsia="hr-HR"/>
        </w:rPr>
        <w:t xml:space="preserve"> </w:t>
      </w:r>
      <w:r w:rsidRPr="00635DFD">
        <w:rPr>
          <w:color w:val="212121"/>
          <w:shd w:val="clear" w:color="auto" w:fill="FFFFFF"/>
          <w:lang w:eastAsia="hr-HR"/>
        </w:rPr>
        <w:t>stavka 1. alineje 2. Zakona o sustavu civilne zaštite („Narodne novine“, broj</w:t>
      </w:r>
      <w:r>
        <w:rPr>
          <w:color w:val="212121"/>
          <w:shd w:val="clear" w:color="auto" w:fill="FFFFFF"/>
          <w:lang w:eastAsia="hr-HR"/>
        </w:rPr>
        <w:t xml:space="preserve"> 82/15, 118/18, 31/20, 20/21 i 114/22</w:t>
      </w:r>
      <w:r w:rsidRPr="00635DFD">
        <w:rPr>
          <w:color w:val="212121"/>
          <w:shd w:val="clear" w:color="auto" w:fill="FFFFFF"/>
          <w:lang w:eastAsia="hr-HR"/>
        </w:rPr>
        <w:t xml:space="preserve">) i </w:t>
      </w:r>
      <w:r w:rsidRPr="007263AD">
        <w:t>članka 34. Statuta Grada Čazme („Službeni vjesnik“, broj 13/21</w:t>
      </w:r>
      <w:r>
        <w:t xml:space="preserve"> i 39/25</w:t>
      </w:r>
      <w:r w:rsidRPr="007263AD">
        <w:t>)</w:t>
      </w:r>
      <w:r>
        <w:t>.</w:t>
      </w:r>
    </w:p>
    <w:p w14:paraId="0776D47A" w14:textId="77777777" w:rsidR="00A55520" w:rsidRDefault="00A55520" w:rsidP="00A55520">
      <w:pPr>
        <w:pStyle w:val="BodyText"/>
        <w:ind w:right="137" w:firstLine="1"/>
        <w:jc w:val="both"/>
      </w:pPr>
    </w:p>
    <w:p w14:paraId="50E3CDC4" w14:textId="77777777" w:rsidR="00A55520" w:rsidRDefault="00A55520" w:rsidP="00A55520">
      <w:pPr>
        <w:pStyle w:val="BodyText"/>
        <w:ind w:right="137" w:firstLine="1"/>
        <w:jc w:val="both"/>
      </w:pPr>
    </w:p>
    <w:p w14:paraId="2646E771" w14:textId="77777777" w:rsidR="00A55520" w:rsidRPr="006F187D" w:rsidRDefault="00A55520" w:rsidP="00A55520">
      <w:pPr>
        <w:pStyle w:val="BodyText"/>
        <w:ind w:right="137" w:firstLine="1"/>
        <w:jc w:val="both"/>
        <w:rPr>
          <w:b/>
          <w:bCs/>
        </w:rPr>
      </w:pPr>
      <w:r w:rsidRPr="006F187D">
        <w:rPr>
          <w:b/>
          <w:bCs/>
        </w:rPr>
        <w:t>PITANJA KOJA SE UREĐUJU OVIM AKTOM</w:t>
      </w:r>
    </w:p>
    <w:p w14:paraId="66C26DAC" w14:textId="77777777" w:rsidR="001B31EC" w:rsidRDefault="001B31EC" w:rsidP="001B31E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3AACB274" w14:textId="1BBAC273" w:rsidR="001B31EC" w:rsidRPr="00D05A1A" w:rsidRDefault="001B31EC" w:rsidP="001B31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B31EC">
        <w:rPr>
          <w:rFonts w:ascii="Times New Roman" w:hAnsi="Times New Roman" w:cs="Times New Roman"/>
        </w:rPr>
        <w:t>Velike nesreće</w:t>
      </w:r>
      <w:r w:rsidRPr="00D05A1A">
        <w:rPr>
          <w:rFonts w:ascii="Times New Roman" w:hAnsi="Times New Roman" w:cs="Times New Roman"/>
        </w:rPr>
        <w:t xml:space="preserve"> (i katastrofe) svoje porijeklo imaju u velikoj lepezi, kako geoloških, hidroloških, meteoroloških, bioloških i ostalih prirodnih fenomena tako i u tehničko-tehnološkim procesima te predstavljaju veliko društveno, ekonomsko i gospodarsko opterećenje za zajednicu – Grad Čazmu.</w:t>
      </w:r>
    </w:p>
    <w:p w14:paraId="0E46DBCB" w14:textId="77777777" w:rsidR="001B31EC" w:rsidRPr="00D05A1A" w:rsidRDefault="001B31EC" w:rsidP="001B31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05A1A">
        <w:rPr>
          <w:rFonts w:ascii="Times New Roman" w:hAnsi="Times New Roman" w:cs="Times New Roman"/>
        </w:rPr>
        <w:t>Potreba izrade revizije Procjene rizika od velikih nesreća na području Grada i potom Bjelovarsko-bilogorske županije, temelji se na praktičnim, društvenim i ekonomskim razlozima, koji uključuju:</w:t>
      </w:r>
    </w:p>
    <w:p w14:paraId="4F6AB171" w14:textId="77777777" w:rsidR="001B31EC" w:rsidRPr="00D05A1A" w:rsidRDefault="001B31EC" w:rsidP="001B31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5A1A">
        <w:rPr>
          <w:rFonts w:ascii="Times New Roman" w:hAnsi="Times New Roman" w:cs="Times New Roman"/>
        </w:rPr>
        <w:t>unapređenje shvaćanja rizika za potrebe praktičnog korištenja u postupcima planiranja, investiranja, osiguranja te sličnim aktivnostima</w:t>
      </w:r>
    </w:p>
    <w:p w14:paraId="4B262CD1" w14:textId="77777777" w:rsidR="001B31EC" w:rsidRPr="00D05A1A" w:rsidRDefault="001B31EC" w:rsidP="001B31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5A1A">
        <w:rPr>
          <w:rFonts w:ascii="Times New Roman" w:hAnsi="Times New Roman" w:cs="Times New Roman"/>
        </w:rPr>
        <w:t>standardizacije procjenjivanja rizika na svim razinama i od strane svih sektora</w:t>
      </w:r>
    </w:p>
    <w:p w14:paraId="129235EE" w14:textId="77777777" w:rsidR="001B31EC" w:rsidRPr="00D05A1A" w:rsidRDefault="001B31EC" w:rsidP="001B31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5A1A">
        <w:rPr>
          <w:rFonts w:ascii="Times New Roman" w:hAnsi="Times New Roman" w:cs="Times New Roman"/>
        </w:rPr>
        <w:t>pojednostavljenje procesa u svrhu lakšeg nadzora i razumijevanja izlaznih rezultata</w:t>
      </w:r>
    </w:p>
    <w:p w14:paraId="0E2BA370" w14:textId="77777777" w:rsidR="001B31EC" w:rsidRPr="00D05A1A" w:rsidRDefault="001B31EC" w:rsidP="001B31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5A1A">
        <w:rPr>
          <w:rFonts w:ascii="Times New Roman" w:hAnsi="Times New Roman" w:cs="Times New Roman"/>
        </w:rPr>
        <w:t>jačanje dosljednosti radi lakše usporedbe rezultata različitih područja i/ili prijetnji.</w:t>
      </w:r>
    </w:p>
    <w:p w14:paraId="3B29A71A" w14:textId="77777777" w:rsidR="001B31EC" w:rsidRPr="00D05A1A" w:rsidRDefault="001B31EC" w:rsidP="001B31E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7FC58C0" w14:textId="77777777" w:rsidR="001B31EC" w:rsidRPr="00D05A1A" w:rsidRDefault="001B31EC" w:rsidP="001B31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05A1A">
        <w:rPr>
          <w:rFonts w:ascii="Times New Roman" w:hAnsi="Times New Roman" w:cs="Times New Roman"/>
        </w:rPr>
        <w:t xml:space="preserve">Procesi i metodologije procjenjivanja i analiziranja rizika stalno se razvijaju, stoga ova procjena rizika predstavlja stanje s danom usvajanja ovog dokumenta. Procjena rizika koristit će se kao podloga za planiranje u cilju smanjenja rizika od velikih nesreća  te provođenja ciljanih preventivnih mjera na području Grada Čazme i Bjelovarsko-bilogorske županije, odnosno za definiranje politika u područjima upravljanja rizicima ili za ublažavanje njihovih posljedica po zdravlje i živote ljudi, materijalna dobra i okoliš. </w:t>
      </w:r>
    </w:p>
    <w:p w14:paraId="42E79575" w14:textId="77777777" w:rsidR="001B31EC" w:rsidRDefault="001B31EC" w:rsidP="001B31EC">
      <w:pPr>
        <w:spacing w:after="0" w:line="240" w:lineRule="auto"/>
        <w:jc w:val="both"/>
        <w:rPr>
          <w:rFonts w:ascii="Times New Roman" w:hAnsi="Times New Roman" w:cs="Times New Roman"/>
          <w:lang w:eastAsia="hr-HR"/>
        </w:rPr>
      </w:pPr>
    </w:p>
    <w:p w14:paraId="738E0793" w14:textId="4BF64CA8" w:rsidR="001B31EC" w:rsidRDefault="001B31EC" w:rsidP="001B31EC">
      <w:pPr>
        <w:spacing w:after="0" w:line="240" w:lineRule="auto"/>
        <w:jc w:val="both"/>
        <w:rPr>
          <w:rFonts w:ascii="Times New Roman" w:hAnsi="Times New Roman" w:cs="Times New Roman"/>
          <w:lang w:eastAsia="hr-HR"/>
        </w:rPr>
      </w:pPr>
      <w:r w:rsidRPr="00D05A1A">
        <w:rPr>
          <w:rFonts w:ascii="Times New Roman" w:hAnsi="Times New Roman" w:cs="Times New Roman"/>
          <w:lang w:eastAsia="hr-HR"/>
        </w:rPr>
        <w:t>Smjernice za izradu procjene rizika od velikih nesreća se donose zbog utvrđivanja jedinstvenih mjerila za izradu procjene rizika, povećanja kvalitete i usporedivosti podataka te unapređivanja baza podataka s rizicima od katastrofa i velikih nesreća na području Republike Hrvatske. Smjernice su u skladu s HRN ISO 31000:2012 en.</w:t>
      </w:r>
    </w:p>
    <w:p w14:paraId="25170689" w14:textId="77777777" w:rsidR="001B31EC" w:rsidRDefault="001B31EC" w:rsidP="001B31EC">
      <w:pPr>
        <w:spacing w:after="0" w:line="240" w:lineRule="auto"/>
        <w:jc w:val="both"/>
        <w:rPr>
          <w:rFonts w:ascii="Times New Roman" w:hAnsi="Times New Roman" w:cs="Times New Roman"/>
          <w:lang w:eastAsia="hr-HR"/>
        </w:rPr>
      </w:pPr>
    </w:p>
    <w:p w14:paraId="02E168B6" w14:textId="79174CD8" w:rsidR="001B31EC" w:rsidRPr="00D05A1A" w:rsidRDefault="001B31EC" w:rsidP="001B31EC">
      <w:pPr>
        <w:spacing w:after="0" w:line="240" w:lineRule="auto"/>
        <w:jc w:val="both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>Procjenu rizika izradio je ovlašteni izrađivač, trgovačko društvo Vizor d.o.o. Varaždin.</w:t>
      </w:r>
    </w:p>
    <w:p w14:paraId="1E987656" w14:textId="77777777" w:rsidR="00A55520" w:rsidRDefault="00A55520" w:rsidP="00A55520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7418C8C" w14:textId="77777777" w:rsidR="00A55520" w:rsidRPr="00684BDF" w:rsidRDefault="00A55520" w:rsidP="00A55520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Slijedom navedenog, predlaže se Gradskom vijeću usvajanje predložene Odluke.</w:t>
      </w:r>
    </w:p>
    <w:p w14:paraId="01577619" w14:textId="77777777" w:rsidR="00A55520" w:rsidRPr="00A55520" w:rsidRDefault="00A55520" w:rsidP="00A55520">
      <w:pPr>
        <w:tabs>
          <w:tab w:val="left" w:pos="1080"/>
        </w:tabs>
        <w:rPr>
          <w:rFonts w:ascii="Times New Roman" w:hAnsi="Times New Roman" w:cs="Times New Roman"/>
        </w:rPr>
      </w:pPr>
    </w:p>
    <w:sectPr w:rsidR="00A55520" w:rsidRPr="00A55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36779"/>
    <w:multiLevelType w:val="hybridMultilevel"/>
    <w:tmpl w:val="CC0228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39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DFD"/>
    <w:rsid w:val="001B31EC"/>
    <w:rsid w:val="00303D28"/>
    <w:rsid w:val="00635DFD"/>
    <w:rsid w:val="00854DF4"/>
    <w:rsid w:val="00A55520"/>
    <w:rsid w:val="00C62A78"/>
    <w:rsid w:val="00D1012C"/>
    <w:rsid w:val="00F379FD"/>
    <w:rsid w:val="00FC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4BC10"/>
  <w15:chartTrackingRefBased/>
  <w15:docId w15:val="{9A4D8D31-E056-457A-B15F-EE4D5DEE0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5D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5D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5D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5D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5D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5D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5D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5D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5D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5D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5D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5D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5DF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5DF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5D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5D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5D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5D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5D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5D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5D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5D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5D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5D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5D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5DF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5D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5DF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5DFD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A55520"/>
    <w:pPr>
      <w:widowControl w:val="0"/>
      <w:autoSpaceDE w:val="0"/>
      <w:autoSpaceDN w:val="0"/>
      <w:spacing w:after="0" w:line="240" w:lineRule="auto"/>
      <w:ind w:left="14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A55520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Dujić</dc:creator>
  <cp:keywords/>
  <dc:description/>
  <cp:lastModifiedBy>Ana Dujić</cp:lastModifiedBy>
  <cp:revision>2</cp:revision>
  <dcterms:created xsi:type="dcterms:W3CDTF">2026-05-08T10:42:00Z</dcterms:created>
  <dcterms:modified xsi:type="dcterms:W3CDTF">2026-05-08T10:42:00Z</dcterms:modified>
</cp:coreProperties>
</file>